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left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1543"/>
        <w:gridCol w:w="1836"/>
        <w:gridCol w:w="2977"/>
        <w:gridCol w:w="3497"/>
      </w:tblGrid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 w:line="100" w:lineRule="atLeast"/>
              <w:contextualSpacing w:val="false"/>
              <w:rPr>
                <w:b/>
              </w:rPr>
            </w:pPr>
            <w:r>
              <w:rPr>
                <w:b/>
              </w:rPr>
              <w:t>Start year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98" w:before="280"/>
              <w:contextualSpacing w:val="false"/>
              <w:jc w:val="center"/>
              <w:rPr>
                <w:rFonts w:ascii="Tahoma" w:cs="Tahoma" w:hAnsi="Tahoma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ahoma" w:cs="Tahoma" w:hAnsi="Tahoma"/>
                <w:b/>
                <w:bCs/>
                <w:sz w:val="20"/>
                <w:szCs w:val="20"/>
                <w:lang w:val="en-US"/>
              </w:rPr>
              <w:t>Type of action</w:t>
            </w:r>
          </w:p>
          <w:p>
            <w:pPr>
              <w:pStyle w:val="style0"/>
              <w:spacing w:after="0" w:before="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98" w:before="280"/>
              <w:contextualSpacing w:val="false"/>
              <w:jc w:val="center"/>
              <w:rPr>
                <w:rFonts w:ascii="Tahoma" w:cs="Tahoma" w:hAnsi="Tahoma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ahoma" w:cs="Tahoma" w:hAnsi="Tahoma"/>
                <w:b/>
                <w:bCs/>
                <w:sz w:val="20"/>
                <w:szCs w:val="20"/>
                <w:lang w:val="en-US"/>
              </w:rPr>
              <w:t>Agreement number</w:t>
            </w:r>
          </w:p>
          <w:p>
            <w:pPr>
              <w:pStyle w:val="style0"/>
              <w:spacing w:after="0" w:before="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98" w:before="280"/>
              <w:contextualSpacing w:val="false"/>
              <w:jc w:val="center"/>
              <w:rPr>
                <w:rFonts w:ascii="Tahoma" w:cs="Tahoma" w:hAnsi="Tahoma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ahoma" w:cs="Tahoma" w:hAnsi="Tahoma"/>
                <w:b/>
                <w:bCs/>
                <w:sz w:val="20"/>
                <w:szCs w:val="20"/>
                <w:lang w:val="en-US"/>
              </w:rPr>
              <w:t>Title of the project</w:t>
            </w:r>
          </w:p>
          <w:p>
            <w:pPr>
              <w:pStyle w:val="style0"/>
              <w:spacing w:after="0" w:before="0" w:line="100" w:lineRule="atLeast"/>
              <w:contextualSpacing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rPr>
                <w:rFonts w:ascii="Arial" w:hAnsi="Arial"/>
                <w:sz w:val="20"/>
                <w:shd w:fill="auto" w:val="clear"/>
              </w:rPr>
            </w:pPr>
            <w:r>
              <w:rPr>
                <w:rFonts w:ascii="Arial" w:hAnsi="Arial"/>
                <w:sz w:val="20"/>
                <w:shd w:fill="auto" w:val="clear"/>
              </w:rPr>
              <w:t>1998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rPr>
                <w:rFonts w:ascii="Arial" w:hAnsi="Arial"/>
                <w:b/>
                <w:bCs/>
                <w:sz w:val="20"/>
                <w:shd w:fill="auto" w:val="clear"/>
              </w:rPr>
            </w:pPr>
            <w:r>
              <w:rPr>
                <w:rFonts w:ascii="Arial" w:hAnsi="Arial"/>
                <w:b/>
                <w:bCs/>
                <w:sz w:val="20"/>
                <w:shd w:fill="auto" w:val="clear"/>
              </w:rPr>
              <w:t>Comenius 2.1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rPr>
                <w:rFonts w:ascii="Arial" w:hAnsi="Arial"/>
                <w:sz w:val="20"/>
                <w:shd w:fill="auto" w:val="clear"/>
              </w:rPr>
            </w:pPr>
            <w:r>
              <w:rPr>
                <w:rFonts w:ascii="Arial" w:hAnsi="Arial"/>
                <w:sz w:val="20"/>
                <w:shd w:fill="auto" w:val="clear"/>
              </w:rPr>
              <w:t>40943-CP-1-97-1-NO-COMENIUS-C2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rPr>
                <w:rFonts w:ascii="Arial" w:hAnsi="Arial"/>
                <w:sz w:val="20"/>
                <w:shd w:fill="auto" w:val="clear"/>
              </w:rPr>
            </w:pPr>
            <w:r>
              <w:rPr>
                <w:rFonts w:ascii="Arial" w:hAnsi="Arial"/>
                <w:sz w:val="20"/>
                <w:shd w:fill="auto" w:val="clear"/>
              </w:rPr>
              <w:t>MANY COLOURS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rPr>
                <w:rFonts w:ascii="Arial" w:hAnsi="Arial"/>
                <w:sz w:val="20"/>
                <w:shd w:fill="auto" w:val="clear"/>
              </w:rPr>
            </w:pPr>
            <w:r>
              <w:rPr>
                <w:rFonts w:ascii="Arial" w:hAnsi="Arial"/>
                <w:sz w:val="20"/>
                <w:shd w:fill="auto" w:val="clear"/>
              </w:rPr>
              <w:t>2001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rPr>
                <w:rFonts w:ascii="Arial" w:hAnsi="Arial"/>
                <w:b/>
                <w:bCs/>
                <w:sz w:val="20"/>
                <w:shd w:fill="auto" w:val="clear"/>
              </w:rPr>
            </w:pPr>
            <w:r>
              <w:rPr>
                <w:rFonts w:ascii="Arial" w:hAnsi="Arial"/>
                <w:b/>
                <w:bCs/>
                <w:sz w:val="20"/>
                <w:shd w:fill="auto" w:val="clear"/>
              </w:rPr>
              <w:t>Comenius 2.1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rPr>
                <w:rFonts w:ascii="Arial" w:hAnsi="Arial"/>
                <w:sz w:val="20"/>
                <w:shd w:fill="auto" w:val="clear"/>
              </w:rPr>
            </w:pPr>
            <w:r>
              <w:rPr>
                <w:rFonts w:ascii="Arial" w:hAnsi="Arial"/>
                <w:sz w:val="20"/>
                <w:shd w:fill="auto" w:val="clear"/>
              </w:rPr>
              <w:t>94355-CP-1-2001-1-NO-COMENIUS-C21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rPr>
                <w:rFonts w:ascii="Arial" w:hAnsi="Arial"/>
                <w:sz w:val="20"/>
                <w:shd w:fill="auto" w:val="clear"/>
                <w:lang w:val="en-GB"/>
              </w:rPr>
            </w:pPr>
            <w:r>
              <w:rPr>
                <w:rFonts w:ascii="Arial" w:hAnsi="Arial"/>
                <w:sz w:val="20"/>
                <w:shd w:fill="auto" w:val="clear"/>
                <w:lang w:val="en-GB"/>
              </w:rPr>
              <w:t>JUSTICE - Joint Unifying Strategies for Training in Intercultural Education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rPr>
                <w:rFonts w:ascii="Arial Narrow" w:hAnsi="Arial Narrow"/>
                <w:bCs/>
                <w:color w:val="000000"/>
                <w:shd w:fill="auto" w:val="clear"/>
              </w:rPr>
            </w:pPr>
            <w:r>
              <w:rPr>
                <w:rFonts w:ascii="Arial Narrow" w:hAnsi="Arial Narrow"/>
                <w:bCs/>
                <w:color w:val="000000"/>
                <w:shd w:fill="auto" w:val="clear"/>
              </w:rPr>
              <w:t>2003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0" w:before="0"/>
              <w:contextualSpacing w:val="false"/>
              <w:rPr>
                <w:shd w:fill="auto" w:val="clear"/>
              </w:rPr>
            </w:pPr>
            <w:r>
              <w:rPr>
                <w:shd w:fill="auto" w:val="clear"/>
              </w:rPr>
              <w:t>Social Esclusion DG V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0" w:before="0"/>
              <w:contextualSpacing w:val="false"/>
              <w:rPr>
                <w:shd w:fill="auto" w:val="clear"/>
              </w:rPr>
            </w:pPr>
            <w:r>
              <w:rPr>
                <w:shd w:fill="auto" w:val="clear"/>
              </w:rPr>
              <w:t>VSVS/2002/0497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0" w:before="0"/>
              <w:contextualSpacing w:val="false"/>
              <w:rPr>
                <w:shd w:fill="auto" w:val="clear"/>
                <w:lang w:val="en-GB"/>
              </w:rPr>
            </w:pPr>
            <w:r>
              <w:rPr>
                <w:shd w:fill="auto" w:val="clear"/>
                <w:lang w:val="en-GB"/>
              </w:rPr>
              <w:t>Cooperation towards the formulation of innovative social planning in view of preventing social exclusion HERMES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rPr>
                <w:rFonts w:ascii="Arial Narrow" w:hAnsi="Arial Narrow"/>
                <w:bCs/>
                <w:color w:val="000000"/>
                <w:shd w:fill="auto" w:val="clear"/>
              </w:rPr>
            </w:pPr>
            <w:r>
              <w:rPr>
                <w:rFonts w:ascii="Arial Narrow" w:hAnsi="Arial Narrow"/>
                <w:bCs/>
                <w:color w:val="000000"/>
                <w:shd w:fill="auto" w:val="clear"/>
              </w:rPr>
              <w:t>2003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0" w:before="0"/>
              <w:contextualSpacing w:val="false"/>
              <w:rPr>
                <w:shd w:fill="auto" w:val="clear"/>
              </w:rPr>
            </w:pPr>
            <w:r>
              <w:rPr>
                <w:shd w:fill="auto" w:val="clear"/>
              </w:rPr>
              <w:t>Grundtvig 1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0" w:before="0"/>
              <w:contextualSpacing w:val="false"/>
              <w:rPr>
                <w:shd w:fill="auto" w:val="clear"/>
              </w:rPr>
            </w:pPr>
            <w:r>
              <w:rPr>
                <w:shd w:fill="auto" w:val="clear"/>
              </w:rPr>
              <w:t>110434-CP-1-2003-1-UK-GRUNDTVIG-G1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0" w:before="0"/>
              <w:contextualSpacing w:val="false"/>
              <w:rPr>
                <w:shd w:fill="auto" w:val="clear"/>
                <w:lang w:val="en-GB"/>
              </w:rPr>
            </w:pPr>
            <w:r>
              <w:rPr>
                <w:shd w:fill="auto" w:val="clear"/>
                <w:lang w:val="en-GB"/>
              </w:rPr>
              <w:t>Learning through active citizenships for immigrants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rPr>
                <w:rFonts w:ascii="Arial Narrow" w:hAnsi="Arial Narrow"/>
                <w:bCs/>
                <w:color w:val="000000"/>
                <w:shd w:fill="auto" w:val="clear"/>
              </w:rPr>
            </w:pPr>
            <w:r>
              <w:rPr>
                <w:rFonts w:ascii="Arial Narrow" w:hAnsi="Arial Narrow"/>
                <w:bCs/>
                <w:color w:val="000000"/>
                <w:shd w:fill="auto" w:val="clear"/>
              </w:rPr>
              <w:t>2003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0" w:before="0"/>
              <w:contextualSpacing w:val="false"/>
              <w:rPr>
                <w:shd w:fill="auto" w:val="clear"/>
              </w:rPr>
            </w:pPr>
            <w:r>
              <w:rPr>
                <w:shd w:fill="auto" w:val="clear"/>
              </w:rPr>
              <w:t>Grundtvig 1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0" w:before="0"/>
              <w:contextualSpacing w:val="false"/>
              <w:rPr>
                <w:shd w:fill="auto" w:val="clear"/>
              </w:rPr>
            </w:pPr>
            <w:r>
              <w:rPr>
                <w:shd w:fill="auto" w:val="clear"/>
              </w:rPr>
              <w:t>109700 – CP – 1 – 2003 – RO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0" w:before="0"/>
              <w:contextualSpacing w:val="false"/>
              <w:rPr>
                <w:shd w:fill="auto" w:val="clear"/>
              </w:rPr>
            </w:pPr>
            <w:r>
              <w:rPr>
                <w:shd w:fill="auto" w:val="clear"/>
              </w:rPr>
              <w:t>AdultCraftsEducation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rPr>
                <w:rFonts w:ascii="Arial Narrow" w:hAnsi="Arial Narrow"/>
                <w:bCs/>
                <w:color w:val="000000"/>
                <w:shd w:fill="auto" w:val="clear"/>
              </w:rPr>
            </w:pPr>
            <w:r>
              <w:rPr>
                <w:rFonts w:ascii="Arial Narrow" w:hAnsi="Arial Narrow"/>
                <w:bCs/>
                <w:color w:val="000000"/>
                <w:shd w:fill="auto" w:val="clear"/>
              </w:rPr>
              <w:t>2003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0" w:before="0"/>
              <w:contextualSpacing w:val="false"/>
              <w:rPr>
                <w:shd w:fill="auto" w:val="clear"/>
              </w:rPr>
            </w:pPr>
            <w:r>
              <w:rPr>
                <w:shd w:fill="auto" w:val="clear"/>
              </w:rPr>
              <w:t>Grundtvig II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0" w:before="0"/>
              <w:contextualSpacing w:val="false"/>
              <w:rPr>
                <w:shd w:fill="auto" w:val="clear"/>
              </w:rPr>
            </w:pPr>
            <w:r>
              <w:rPr>
                <w:shd w:fill="auto" w:val="clear"/>
              </w:rPr>
              <w:t>03-ITA01-S2G01-00144-1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0" w:before="0"/>
              <w:contextualSpacing w:val="false"/>
              <w:rPr>
                <w:shd w:fill="auto" w:val="clear"/>
                <w:lang w:val="en-GB"/>
              </w:rPr>
            </w:pPr>
            <w:r>
              <w:rPr>
                <w:shd w:fill="auto" w:val="clear"/>
                <w:lang w:val="en-GB"/>
              </w:rPr>
              <w:t>Infocons – EuroConseil – youth information career conselling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rPr>
                <w:rFonts w:ascii="Arial Narrow" w:hAnsi="Arial Narrow"/>
                <w:bCs/>
                <w:color w:val="000000"/>
                <w:shd w:fill="auto" w:val="clear"/>
              </w:rPr>
            </w:pPr>
            <w:r>
              <w:rPr>
                <w:rFonts w:ascii="Arial Narrow" w:hAnsi="Arial Narrow"/>
                <w:bCs/>
                <w:color w:val="000000"/>
                <w:shd w:fill="auto" w:val="clear"/>
              </w:rPr>
              <w:t>2003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0" w:before="0"/>
              <w:contextualSpacing w:val="false"/>
              <w:rPr>
                <w:shd w:fill="auto" w:val="clear"/>
              </w:rPr>
            </w:pPr>
            <w:r>
              <w:rPr>
                <w:shd w:fill="auto" w:val="clear"/>
              </w:rPr>
              <w:t>Grundtvig II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/>
              <w:contextualSpacing w:val="false"/>
              <w:rPr>
                <w:shd w:fill="auto" w:val="clear"/>
              </w:rPr>
            </w:pPr>
            <w:r>
              <w:rPr>
                <w:shd w:fill="auto" w:val="clear"/>
              </w:rPr>
              <w:t>03-ITA01-S2G01-00086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0" w:before="0"/>
              <w:contextualSpacing w:val="false"/>
              <w:rPr>
                <w:shd w:fill="auto" w:val="clear"/>
                <w:lang w:val="en-GB"/>
              </w:rPr>
            </w:pPr>
            <w:r>
              <w:rPr>
                <w:shd w:fill="auto" w:val="clear"/>
                <w:lang w:val="en-GB"/>
              </w:rPr>
              <w:t>Effective parental participation in early Literacy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rPr>
                <w:rFonts w:ascii="Arial Narrow" w:hAnsi="Arial Narrow"/>
                <w:bCs/>
                <w:color w:val="000000"/>
                <w:shd w:fill="auto" w:val="clear"/>
              </w:rPr>
            </w:pPr>
            <w:r>
              <w:rPr>
                <w:rFonts w:ascii="Arial Narrow" w:hAnsi="Arial Narrow"/>
                <w:bCs/>
                <w:color w:val="000000"/>
                <w:shd w:fill="auto" w:val="clear"/>
              </w:rPr>
              <w:t>2003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0" w:before="0"/>
              <w:contextualSpacing w:val="false"/>
              <w:rPr>
                <w:shd w:fill="auto" w:val="clear"/>
              </w:rPr>
            </w:pPr>
            <w:r>
              <w:rPr>
                <w:shd w:fill="auto" w:val="clear"/>
              </w:rPr>
              <w:t>Youth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/>
              <w:contextualSpacing w:val="false"/>
              <w:rPr>
                <w:shd w:fill="auto" w:val="clear"/>
              </w:rPr>
            </w:pPr>
            <w:r>
              <w:rPr>
                <w:shd w:fill="auto" w:val="clear"/>
              </w:rPr>
              <w:t>3268/A1BG/776/03/R5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0" w:before="0"/>
              <w:contextualSpacing w:val="false"/>
              <w:rPr>
                <w:shd w:fill="auto" w:val="clear"/>
              </w:rPr>
            </w:pPr>
            <w:r>
              <w:rPr>
                <w:shd w:fill="auto" w:val="clear"/>
              </w:rPr>
              <w:t xml:space="preserve">Cultures in dialogue 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rPr>
                <w:rFonts w:ascii="Arial Narrow" w:hAnsi="Arial Narrow"/>
                <w:bCs/>
                <w:color w:val="000000"/>
                <w:shd w:fill="auto" w:val="clear"/>
              </w:rPr>
            </w:pPr>
            <w:r>
              <w:rPr>
                <w:rFonts w:ascii="Arial Narrow" w:hAnsi="Arial Narrow"/>
                <w:bCs/>
                <w:color w:val="000000"/>
                <w:shd w:fill="auto" w:val="clear"/>
              </w:rPr>
              <w:t>2004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0" w:before="0"/>
              <w:contextualSpacing w:val="false"/>
              <w:rPr>
                <w:shd w:fill="auto" w:val="clear"/>
              </w:rPr>
            </w:pPr>
            <w:r>
              <w:rPr>
                <w:shd w:fill="auto" w:val="clear"/>
              </w:rPr>
              <w:t>Grundtvig II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/>
              <w:contextualSpacing w:val="false"/>
              <w:rPr>
                <w:shd w:fill="auto" w:val="clear"/>
              </w:rPr>
            </w:pPr>
            <w:r>
              <w:rPr>
                <w:shd w:fill="auto" w:val="clear"/>
              </w:rPr>
              <w:t>04-ITA01-S2G01-00211-1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0" w:before="0"/>
              <w:contextualSpacing w:val="false"/>
              <w:rPr>
                <w:shd w:fill="auto" w:val="clear"/>
                <w:lang w:val="en-GB"/>
              </w:rPr>
            </w:pPr>
            <w:r>
              <w:rPr>
                <w:shd w:fill="auto" w:val="clear"/>
                <w:lang w:val="en-GB"/>
              </w:rPr>
              <w:t>Fit for active citizenships – Innovative education concepts for the qualification of people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rPr>
                <w:rFonts w:ascii="Arial Narrow" w:hAnsi="Arial Narrow"/>
                <w:bCs/>
                <w:color w:val="000000"/>
                <w:shd w:fill="auto" w:val="clear"/>
              </w:rPr>
            </w:pPr>
            <w:r>
              <w:rPr>
                <w:rFonts w:ascii="Arial Narrow" w:hAnsi="Arial Narrow"/>
                <w:bCs/>
                <w:color w:val="000000"/>
                <w:shd w:fill="auto" w:val="clear"/>
              </w:rPr>
              <w:t>2004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0" w:before="0"/>
              <w:contextualSpacing w:val="false"/>
              <w:rPr>
                <w:shd w:fill="auto" w:val="clear"/>
              </w:rPr>
            </w:pPr>
            <w:r>
              <w:rPr>
                <w:shd w:fill="auto" w:val="clear"/>
              </w:rPr>
              <w:t>Grundtvig II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/>
              <w:contextualSpacing w:val="false"/>
              <w:rPr>
                <w:shd w:fill="auto" w:val="clear"/>
              </w:rPr>
            </w:pPr>
            <w:r>
              <w:rPr>
                <w:shd w:fill="auto" w:val="clear"/>
              </w:rPr>
              <w:t>04-ITA01-S2G01-00217-1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0" w:before="0"/>
              <w:contextualSpacing w:val="false"/>
              <w:rPr>
                <w:shd w:fill="auto" w:val="clear"/>
              </w:rPr>
            </w:pPr>
            <w:r>
              <w:rPr>
                <w:shd w:fill="auto" w:val="clear"/>
              </w:rPr>
              <w:t>VAI – Volunteers assisting Immigrants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rPr>
                <w:rFonts w:ascii="Arial Narrow" w:hAnsi="Arial Narrow"/>
                <w:bCs/>
                <w:color w:val="000000"/>
                <w:shd w:fill="auto" w:val="clear"/>
              </w:rPr>
            </w:pPr>
            <w:r>
              <w:rPr>
                <w:rFonts w:ascii="Arial Narrow" w:hAnsi="Arial Narrow"/>
                <w:bCs/>
                <w:color w:val="000000"/>
                <w:shd w:fill="auto" w:val="clear"/>
              </w:rPr>
              <w:t>2004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0" w:before="0"/>
              <w:contextualSpacing w:val="false"/>
              <w:rPr>
                <w:shd w:fill="auto" w:val="clear"/>
              </w:rPr>
            </w:pPr>
            <w:r>
              <w:rPr>
                <w:shd w:fill="auto" w:val="clear"/>
              </w:rPr>
              <w:t>Grundtvig II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/>
              <w:contextualSpacing w:val="false"/>
              <w:rPr>
                <w:shd w:fill="auto" w:val="clear"/>
              </w:rPr>
            </w:pPr>
            <w:r>
              <w:rPr>
                <w:shd w:fill="auto" w:val="clear"/>
              </w:rPr>
              <w:t>04-ITA01-S2G01-00172-1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0" w:before="0"/>
              <w:contextualSpacing w:val="false"/>
              <w:rPr>
                <w:shd w:fill="auto" w:val="clear"/>
                <w:lang w:val="en-GB"/>
              </w:rPr>
            </w:pPr>
            <w:r>
              <w:rPr>
                <w:shd w:fill="auto" w:val="clear"/>
                <w:lang w:val="en-GB"/>
              </w:rPr>
              <w:t>As you Like it – healthy and correct nutritional habits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rPr>
                <w:rFonts w:ascii="Arial Narrow" w:hAnsi="Arial Narrow"/>
                <w:bCs/>
                <w:color w:val="000000"/>
                <w:shd w:fill="auto" w:val="clear"/>
              </w:rPr>
            </w:pPr>
            <w:r>
              <w:rPr>
                <w:rFonts w:ascii="Arial Narrow" w:hAnsi="Arial Narrow"/>
                <w:bCs/>
                <w:color w:val="000000"/>
                <w:shd w:fill="auto" w:val="clear"/>
              </w:rPr>
              <w:t>2005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0" w:before="0"/>
              <w:contextualSpacing w:val="false"/>
              <w:rPr>
                <w:shd w:fill="auto" w:val="clear"/>
              </w:rPr>
            </w:pPr>
            <w:r>
              <w:rPr>
                <w:shd w:fill="auto" w:val="clear"/>
              </w:rPr>
              <w:t>Grundtvig II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/>
              <w:contextualSpacing w:val="false"/>
              <w:rPr>
                <w:shd w:fill="auto" w:val="clear"/>
              </w:rPr>
            </w:pPr>
            <w:r>
              <w:rPr>
                <w:shd w:fill="auto" w:val="clear"/>
              </w:rPr>
              <w:t>05-ita01-S2G01-00071-1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0" w:before="0"/>
              <w:contextualSpacing w:val="false"/>
              <w:rPr>
                <w:shd w:fill="auto" w:val="clear"/>
                <w:lang w:val="en-GB"/>
              </w:rPr>
            </w:pPr>
            <w:r>
              <w:rPr>
                <w:shd w:fill="auto" w:val="clear"/>
                <w:lang w:val="en-GB"/>
              </w:rPr>
              <w:t>Strategies to promote LLL among immigrants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rPr>
                <w:rFonts w:ascii="Arial Narrow" w:hAnsi="Arial Narrow"/>
                <w:bCs/>
                <w:color w:val="000000"/>
                <w:shd w:fill="auto" w:val="clear"/>
              </w:rPr>
            </w:pPr>
            <w:r>
              <w:rPr>
                <w:rFonts w:ascii="Arial Narrow" w:hAnsi="Arial Narrow"/>
                <w:bCs/>
                <w:color w:val="000000"/>
                <w:shd w:fill="auto" w:val="clear"/>
              </w:rPr>
              <w:t>2006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0" w:before="0"/>
              <w:contextualSpacing w:val="false"/>
              <w:rPr>
                <w:shd w:fill="auto" w:val="clear"/>
              </w:rPr>
            </w:pPr>
            <w:r>
              <w:rPr>
                <w:shd w:fill="auto" w:val="clear"/>
              </w:rPr>
              <w:t>Grundtvig II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/>
              <w:contextualSpacing w:val="false"/>
              <w:rPr>
                <w:shd w:fill="auto" w:val="clear"/>
              </w:rPr>
            </w:pPr>
            <w:r>
              <w:rPr>
                <w:shd w:fill="auto" w:val="clear"/>
              </w:rPr>
              <w:t>06-ita01-S2G01- 00079-1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0" w:before="0"/>
              <w:contextualSpacing w:val="false"/>
              <w:rPr>
                <w:shd w:fill="auto" w:val="clear"/>
                <w:lang w:val="en-GB"/>
              </w:rPr>
            </w:pPr>
            <w:r>
              <w:rPr>
                <w:shd w:fill="auto" w:val="clear"/>
                <w:lang w:val="en-GB"/>
              </w:rPr>
              <w:t>Bum Bum Project – adolescent is here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rPr>
                <w:rFonts w:ascii="Arial Narrow" w:hAnsi="Arial Narrow"/>
                <w:bCs/>
                <w:color w:val="000000"/>
                <w:shd w:fill="auto" w:val="clear"/>
              </w:rPr>
            </w:pPr>
            <w:r>
              <w:rPr>
                <w:rFonts w:ascii="Arial Narrow" w:hAnsi="Arial Narrow"/>
                <w:bCs/>
                <w:color w:val="000000"/>
                <w:shd w:fill="auto" w:val="clear"/>
              </w:rPr>
              <w:t>2006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0" w:before="0"/>
              <w:contextualSpacing w:val="false"/>
              <w:rPr>
                <w:shd w:fill="auto" w:val="clear"/>
              </w:rPr>
            </w:pPr>
            <w:r>
              <w:rPr>
                <w:shd w:fill="auto" w:val="clear"/>
              </w:rPr>
              <w:t>Grundtivg 1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/>
              <w:contextualSpacing w:val="false"/>
              <w:rPr>
                <w:shd w:fill="auto" w:val="clear"/>
              </w:rPr>
            </w:pPr>
            <w:r>
              <w:rPr>
                <w:shd w:fill="auto" w:val="clear"/>
              </w:rPr>
              <w:t>229992 - CP -1-2006-1- DE - Grundtvig – G1PP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0" w:before="0"/>
              <w:contextualSpacing w:val="false"/>
              <w:rPr>
                <w:shd w:fill="auto" w:val="clear"/>
                <w:lang w:val="en-GB"/>
              </w:rPr>
            </w:pPr>
            <w:r>
              <w:rPr>
                <w:shd w:fill="auto" w:val="clear"/>
                <w:lang w:val="en-GB"/>
              </w:rPr>
              <w:t>Sevir - Senior volunteers in interest representations, training programme for participatory competen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rPr>
                <w:rFonts w:ascii="Arial Narrow" w:hAnsi="Arial Narrow"/>
                <w:bCs/>
                <w:color w:val="000000"/>
                <w:shd w:fill="auto" w:val="clear"/>
              </w:rPr>
            </w:pPr>
            <w:r>
              <w:rPr>
                <w:rFonts w:ascii="Arial Narrow" w:hAnsi="Arial Narrow"/>
                <w:bCs/>
                <w:color w:val="000000"/>
                <w:shd w:fill="auto" w:val="clear"/>
              </w:rPr>
              <w:t>2006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0" w:before="0"/>
              <w:contextualSpacing w:val="false"/>
              <w:rPr>
                <w:shd w:fill="auto" w:val="clear"/>
              </w:rPr>
            </w:pPr>
            <w:r>
              <w:rPr>
                <w:shd w:fill="auto" w:val="clear"/>
              </w:rPr>
              <w:t>Grundtivg 1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/>
              <w:contextualSpacing w:val="false"/>
              <w:rPr>
                <w:shd w:fill="auto" w:val="clear"/>
              </w:rPr>
            </w:pPr>
            <w:r>
              <w:rPr>
                <w:shd w:fill="auto" w:val="clear"/>
              </w:rPr>
              <w:t>230039-CP-1-2006-1-LT-GRUNDTVIG-G11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0" w:before="0"/>
              <w:contextualSpacing w:val="false"/>
              <w:rPr>
                <w:shd w:fill="auto" w:val="clear"/>
                <w:lang w:val="en-GB"/>
              </w:rPr>
            </w:pPr>
            <w:r>
              <w:rPr>
                <w:shd w:fill="auto" w:val="clear"/>
                <w:lang w:val="en-GB"/>
              </w:rPr>
              <w:t>Il Greco – Implementing Learning Game resources based on educational content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rPr>
                <w:rFonts w:ascii="Arial Narrow" w:hAnsi="Arial Narrow"/>
                <w:bCs/>
                <w:color w:val="000000"/>
                <w:shd w:fill="auto" w:val="clear"/>
              </w:rPr>
            </w:pPr>
            <w:r>
              <w:rPr>
                <w:rFonts w:ascii="Arial Narrow" w:hAnsi="Arial Narrow"/>
                <w:bCs/>
                <w:color w:val="000000"/>
                <w:shd w:fill="auto" w:val="clear"/>
              </w:rPr>
              <w:t>2006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0" w:before="0"/>
              <w:contextualSpacing w:val="false"/>
              <w:rPr>
                <w:shd w:fill="auto" w:val="clear"/>
              </w:rPr>
            </w:pPr>
            <w:r>
              <w:rPr>
                <w:shd w:fill="auto" w:val="clear"/>
              </w:rPr>
              <w:t>Grundtivg 1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0" w:before="0"/>
              <w:contextualSpacing w:val="false"/>
              <w:rPr>
                <w:shd w:fill="auto" w:val="clear"/>
              </w:rPr>
            </w:pPr>
            <w:r>
              <w:rPr>
                <w:shd w:fill="auto" w:val="clear"/>
              </w:rPr>
              <w:t>229542-CP-1-2006-1-UK-GRUNDTVIG1-G1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0" w:before="0"/>
              <w:contextualSpacing w:val="false"/>
              <w:rPr>
                <w:shd w:fill="auto" w:val="clear"/>
                <w:lang w:val="en-GB"/>
              </w:rPr>
            </w:pPr>
            <w:r>
              <w:rPr>
                <w:shd w:fill="auto" w:val="clear"/>
                <w:lang w:val="en-GB"/>
              </w:rPr>
              <w:t>Game On – Suitable Materials for target audience – ex offenders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0" w:before="280"/>
              <w:contextualSpacing w:val="false"/>
              <w:rPr>
                <w:shd w:fill="auto" w:val="clear"/>
              </w:rPr>
            </w:pPr>
            <w:r>
              <w:rPr>
                <w:shd w:fill="auto" w:val="clear"/>
              </w:rPr>
              <w:t>2007</w:t>
            </w:r>
          </w:p>
          <w:p>
            <w:pPr>
              <w:pStyle w:val="style27"/>
              <w:spacing w:after="0" w:before="280"/>
              <w:contextualSpacing w:val="false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style27"/>
              <w:spacing w:after="119" w:before="280"/>
              <w:contextualSpacing w:val="false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  <w:t>Grundtvig partnerhsip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  <w:t>07-ITA01-GR04-00378-1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rFonts w:ascii="Times New Roman" w:hAnsi="Times New Roman"/>
                <w:sz w:val="24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sz w:val="24"/>
                <w:shd w:fill="auto" w:val="clear"/>
                <w:lang w:val="en-US"/>
              </w:rPr>
              <w:t xml:space="preserve">Signs - Seniors Input to Generations Dialogue in Education 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0" w:before="280"/>
              <w:contextualSpacing w:val="false"/>
              <w:rPr>
                <w:shd w:fill="auto" w:val="clear"/>
              </w:rPr>
            </w:pPr>
            <w:r>
              <w:rPr>
                <w:shd w:fill="auto" w:val="clear"/>
                <w:lang w:val="en-GB"/>
              </w:rPr>
              <w:t xml:space="preserve"> </w:t>
            </w:r>
            <w:r>
              <w:rPr>
                <w:shd w:fill="auto" w:val="clear"/>
              </w:rPr>
              <w:t>2007</w:t>
            </w:r>
          </w:p>
          <w:p>
            <w:pPr>
              <w:pStyle w:val="style27"/>
              <w:spacing w:after="0" w:before="280"/>
              <w:contextualSpacing w:val="false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style27"/>
              <w:spacing w:after="119" w:before="280"/>
              <w:contextualSpacing w:val="false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  <w:t>Grundtvig partnerhsip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>
                <w:shd w:fill="auto" w:val="clear"/>
              </w:rPr>
            </w:pPr>
            <w:r>
              <w:rPr>
                <w:shd w:fill="auto" w:val="clear"/>
              </w:rPr>
              <w:t>07-ITA01-GR04-00276-1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rFonts w:ascii="Times New Roman" w:hAnsi="Times New Roman"/>
                <w:sz w:val="24"/>
                <w:shd w:fill="auto" w:val="clear"/>
                <w:lang w:val="en-US"/>
              </w:rPr>
            </w:pPr>
            <w:r>
              <w:rPr>
                <w:rFonts w:ascii="Times New Roman" w:hAnsi="Times New Roman"/>
                <w:sz w:val="24"/>
                <w:shd w:fill="auto" w:val="clear"/>
                <w:lang w:val="en-US"/>
              </w:rPr>
              <w:t>Suit-– Sustainable Foreign Language Teaching for Parents by Using ICT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0" w:before="280"/>
              <w:contextualSpacing w:val="false"/>
              <w:rPr/>
            </w:pPr>
            <w:r>
              <w:rPr>
                <w:lang w:val="en-GB"/>
              </w:rPr>
              <w:t xml:space="preserve"> </w:t>
            </w:r>
            <w:r>
              <w:rPr/>
              <w:t>2007</w:t>
            </w:r>
          </w:p>
          <w:p>
            <w:pPr>
              <w:pStyle w:val="style27"/>
              <w:spacing w:after="0" w:before="280"/>
              <w:contextualSpacing w:val="false"/>
              <w:rPr/>
            </w:pPr>
            <w:r>
              <w:rPr/>
            </w:r>
          </w:p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/>
            </w:pPr>
            <w:r>
              <w:rPr/>
              <w:t>Grundtvig partnerhsip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07-ITA01-GR04-00013-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Hand in hand- Training programme for parents and teachers of pupils with Attention Deficit Hyperacti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0" w:before="280"/>
              <w:contextualSpacing w:val="false"/>
              <w:rPr/>
            </w:pPr>
            <w:r>
              <w:rPr>
                <w:lang w:val="en-GB"/>
              </w:rPr>
              <w:t xml:space="preserve"> </w:t>
            </w:r>
            <w:r>
              <w:rPr/>
              <w:t>2007</w:t>
            </w:r>
          </w:p>
          <w:p>
            <w:pPr>
              <w:pStyle w:val="style27"/>
              <w:spacing w:after="0" w:before="280"/>
              <w:contextualSpacing w:val="false"/>
              <w:rPr/>
            </w:pPr>
            <w:r>
              <w:rPr/>
            </w:r>
          </w:p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/>
            </w:pPr>
            <w:r>
              <w:rPr/>
              <w:t>Grundtvig transversal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135124-LLP-1-2007-1-UK-KA2-KA2MP</w:t>
            </w:r>
          </w:p>
          <w:p>
            <w:pPr>
              <w:pStyle w:val="style29"/>
              <w:jc w:val="both"/>
              <w:rPr/>
            </w:pPr>
            <w:r>
              <w:rPr/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Eat  Eating abroad together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0" w:before="280"/>
              <w:contextualSpacing w:val="false"/>
              <w:rPr/>
            </w:pPr>
            <w:r>
              <w:rPr/>
              <w:t xml:space="preserve"> </w:t>
            </w:r>
            <w:r>
              <w:rPr/>
              <w:t>2007</w:t>
            </w:r>
          </w:p>
          <w:p>
            <w:pPr>
              <w:pStyle w:val="style27"/>
              <w:spacing w:after="0" w:before="280"/>
              <w:contextualSpacing w:val="false"/>
              <w:rPr/>
            </w:pPr>
            <w:r>
              <w:rPr/>
            </w:r>
          </w:p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/>
            </w:pPr>
            <w:r>
              <w:rPr/>
              <w:t>Grundtvig transversal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LLP 2007 - 3481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MEIN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0" w:before="280"/>
              <w:contextualSpacing w:val="false"/>
              <w:rPr/>
            </w:pPr>
            <w:r>
              <w:rPr/>
              <w:t xml:space="preserve"> </w:t>
            </w:r>
            <w:r>
              <w:rPr/>
              <w:t>2007</w:t>
            </w:r>
          </w:p>
          <w:p>
            <w:pPr>
              <w:pStyle w:val="style27"/>
              <w:spacing w:after="0" w:before="280"/>
              <w:contextualSpacing w:val="false"/>
              <w:rPr/>
            </w:pPr>
            <w:r>
              <w:rPr/>
            </w:r>
          </w:p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/>
            </w:pPr>
            <w:r>
              <w:rPr/>
              <w:t>Grundtvig transversal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134173-LLP-1-2007-DE-GRUNDTVIG-GMP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Edu for all - a strategy for learning in groups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0" w:before="280"/>
              <w:contextualSpacing w:val="false"/>
              <w:rPr/>
            </w:pPr>
            <w:r>
              <w:rPr>
                <w:lang w:val="en-GB"/>
              </w:rPr>
              <w:t xml:space="preserve"> </w:t>
            </w:r>
            <w:r>
              <w:rPr/>
              <w:t>2007</w:t>
            </w:r>
          </w:p>
          <w:p>
            <w:pPr>
              <w:pStyle w:val="style27"/>
              <w:spacing w:after="0" w:before="280"/>
              <w:contextualSpacing w:val="false"/>
              <w:rPr/>
            </w:pPr>
            <w:r>
              <w:rPr/>
            </w:r>
          </w:p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/>
            </w:pPr>
            <w:r>
              <w:rPr/>
              <w:t>LDV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134326-LLP-1-2007-1-RO-GRUNDTVIG-GMP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Connection -Cultural Organizations as Learning and Communication Environments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2008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/>
            </w:pPr>
            <w:r>
              <w:rPr/>
              <w:t>Grundtvig Partnership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2008-1-RO1-GRU06-00121 2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Therapies with Animals for the Disabled People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2008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/>
            </w:pPr>
            <w:r>
              <w:rPr/>
              <w:t>Grundtvig Partnership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2008-1-ES1-GRU06-00101 2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EUROPEAN HERITAGE FOR AN ACTIVE CITIZENSHIP THROUGH INTERCULTURAL DIALOGUE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2008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/>
            </w:pPr>
            <w:r>
              <w:rPr/>
              <w:t>Grundtvig Partnership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2008-1-LT1-GRU06-00057 2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Innovative Adult Education for Sustainable Rural Development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2008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/>
            </w:pPr>
            <w:r>
              <w:rPr/>
              <w:t>Grundtvig Partnership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2008-1-RO1-GRU06-00141 5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rFonts w:ascii="Times New Roman" w:hAnsi="Times New Roman"/>
                <w:sz w:val="24"/>
                <w:lang w:val="pt-PT"/>
              </w:rPr>
            </w:pPr>
            <w:r>
              <w:rPr>
                <w:rFonts w:ascii="Times New Roman" w:hAnsi="Times New Roman"/>
                <w:sz w:val="24"/>
                <w:lang w:val="pt-PT"/>
              </w:rPr>
              <w:t>MEDIALOGUESPROGRAMME DE FORMATION A LA CITOYENNETE ACTIVE FACE AUX PROBLEMES DE DROIT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2008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/>
            </w:pPr>
            <w:r>
              <w:rPr/>
              <w:t>Grundtvig Partnership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2008-1-PL1-GRU06-00833 2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THE DISABLED - SELF-RELIANT AND CREATIVE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2008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/>
            </w:pPr>
            <w:r>
              <w:rPr/>
              <w:t>Grundtvig Partnership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2008-1-TR1-GRU06-01478 4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Enrichment of the Social Capital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2008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/>
            </w:pPr>
            <w:r>
              <w:rPr/>
              <w:t>Gundtvig transversal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 xml:space="preserve">142293-LLP-1-2008-1-RO-GRUNDTVIG-GMP 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Digitas . Dygital asylum seekers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2008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/>
            </w:pPr>
            <w:r>
              <w:rPr/>
              <w:t xml:space="preserve">Comenius Multilateral project 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142444-LLP-1-2008-1-RO-COMENIUS-CMP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Tellvit – learn to learn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2009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/>
            </w:pPr>
            <w:r>
              <w:rPr/>
              <w:t>Grundtvig Partnership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2009-1-it2-gru06-06481-1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Parents-teachers and psycohologists collaboration for Dyslexia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2009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/>
            </w:pPr>
            <w:r>
              <w:rPr/>
              <w:t>Grundtvig Partnership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</w:r>
          </w:p>
          <w:p>
            <w:pPr>
              <w:pStyle w:val="style29"/>
              <w:jc w:val="both"/>
              <w:rPr/>
            </w:pPr>
            <w:r>
              <w:rPr/>
              <w:t>2009—1-LT1-GRU06-01392-4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Educate Generation</w:t>
            </w:r>
          </w:p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2009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/>
            </w:pPr>
            <w:r>
              <w:rPr/>
              <w:t>Grundtvig Partnership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2009-1TR-GRU06-05430-2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ADULT MOTIVATION WITH NATURE AND SPORTS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2009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/>
            </w:pPr>
            <w:r>
              <w:rPr/>
              <w:t>Grundtvig partnership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2009-1-TR1-GRU06-05418-6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 xml:space="preserve">Secure internet 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2009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/>
            </w:pPr>
            <w:r>
              <w:rPr/>
              <w:t>Comenius Multilateral centralized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504605-LLP-1-2009-1-BG-COMENIUS-CMP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Keyttt – Teamwork, Training and Technology for Development of Key Competencies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2009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/>
            </w:pPr>
            <w:r>
              <w:rPr/>
              <w:t>KA3 Multilateral projects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504952-LLP-1-2009-1-LV-KA2-KA2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eSIMTRA  (e-Simulation Environment for training on Interaction with Children)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2009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/>
            </w:pPr>
            <w:r>
              <w:rPr/>
              <w:t>Key Activity 2 languages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504952-LLP-1-2009-1-LV-KA2-KA2MP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Material for innovative Russian Learning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2010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/>
            </w:pPr>
            <w:r>
              <w:rPr/>
              <w:t>Grundtvig workshop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2010-1-IT2-GRU13-12885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Musa arte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2010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/>
            </w:pPr>
            <w:r>
              <w:rPr/>
              <w:t>Grundtvig Multilateral Project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510485-LLP-1-2010-1-TR-GRU-GM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Development of supportive packages for parents and teachers of children with cerebral palsy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2010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/>
            </w:pPr>
            <w:r>
              <w:rPr/>
              <w:t>Grundtvig Parternship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2010-1-FR1-GRU06-14462-5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SIC : Senior Inter-cultural Cocktail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2010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/>
            </w:pPr>
            <w:r>
              <w:rPr/>
              <w:t>LDV partnership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2010-1-TR1-LEO4-15833 2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line="100" w:lineRule="atLeast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Vocational Education of Teachers Working With Handicapped Children</w:t>
            </w:r>
          </w:p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2010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jc w:val="both"/>
              <w:rPr/>
            </w:pPr>
            <w:r>
              <w:rPr/>
              <w:t>Comenius  Partnership</w:t>
            </w:r>
          </w:p>
          <w:p>
            <w:pPr>
              <w:pStyle w:val="style0"/>
              <w:spacing w:after="200" w:before="0" w:line="100" w:lineRule="atLeast"/>
              <w:contextualSpacing w:val="false"/>
              <w:jc w:val="both"/>
              <w:rPr/>
            </w:pPr>
            <w:r>
              <w:rPr/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2010-1-TR1-COM06-13698-4</w:t>
            </w:r>
          </w:p>
          <w:p>
            <w:pPr>
              <w:pStyle w:val="style29"/>
              <w:jc w:val="both"/>
              <w:rPr/>
            </w:pPr>
            <w:r>
              <w:rPr/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Intercultural bridge</w:t>
            </w:r>
          </w:p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2010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/>
            </w:pPr>
            <w:r>
              <w:rPr/>
              <w:t>Grundtvig Parternship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2010-1-DE2-GRU06-04696-5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tool-fit: skills for participation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2010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/>
            </w:pPr>
            <w:r>
              <w:rPr/>
              <w:t>Grundtvig Parternship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2010-1-CY1-GRU06-00919-4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line="100" w:lineRule="atLeast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INNOVATIVE PERSPECTIVES IN LEARNING DISABILITIES</w:t>
            </w:r>
          </w:p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2011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/>
            </w:pPr>
            <w:r>
              <w:rPr/>
              <w:t>Grundtvig partnership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2011-1-RO1-GRU06-15004-7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Young and Adults for a Better Life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2011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/>
            </w:pPr>
            <w:r>
              <w:rPr/>
              <w:t>COMENIUS Multilateral networks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517837-LLP-1-2011-1-ES-COMENIUS-CNW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Network for the Quality in Early Childhood Education from 0-6 years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2011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/>
            </w:pPr>
            <w:r>
              <w:rPr/>
              <w:t>Transfer of innovation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2011-1-GB2-LEO05-05525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Serious Computer Games as a Teaching Tool-TOI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2011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/>
            </w:pPr>
            <w:r>
              <w:rPr/>
              <w:t>Grundtvig partnership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2011-1-TR1-GRU06-24214-2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Volunteers Welcome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2011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/>
            </w:pPr>
            <w:r>
              <w:rPr/>
              <w:t>Comenius partnership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 xml:space="preserve">2011-1-TR1-COM06-24455-2 </w:t>
            </w:r>
          </w:p>
          <w:p>
            <w:pPr>
              <w:pStyle w:val="style29"/>
              <w:jc w:val="both"/>
              <w:rPr/>
            </w:pPr>
            <w:r>
              <w:rPr/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A Cultural Journey Through Europe Wonderland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2011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/>
            </w:pPr>
            <w:r>
              <w:rPr/>
              <w:t>Comenius partnership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2011-1-TR1-COM06-24143-5</w:t>
            </w:r>
          </w:p>
          <w:p>
            <w:pPr>
              <w:pStyle w:val="style29"/>
              <w:jc w:val="both"/>
              <w:rPr/>
            </w:pPr>
            <w:r>
              <w:rPr/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line="100" w:lineRule="atLeast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Different Tastes and Lifestyles Meet in Same European World</w:t>
            </w:r>
          </w:p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2011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/>
            </w:pPr>
            <w:r>
              <w:rPr/>
              <w:t>Comenius partnership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2011-1-GB1-COM06-10549-3</w:t>
            </w:r>
          </w:p>
          <w:p>
            <w:pPr>
              <w:pStyle w:val="style29"/>
              <w:jc w:val="both"/>
              <w:rPr/>
            </w:pPr>
            <w:r>
              <w:rPr/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line="100" w:lineRule="atLeast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 xml:space="preserve">Youth of Europe 'Youropia' </w:t>
            </w:r>
          </w:p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2011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/>
            </w:pPr>
            <w:r>
              <w:rPr/>
              <w:t>Comenius partnership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2011-1-BG1-COM06-04988-3</w:t>
            </w:r>
          </w:p>
          <w:p>
            <w:pPr>
              <w:pStyle w:val="style29"/>
              <w:jc w:val="both"/>
              <w:rPr/>
            </w:pPr>
            <w:r>
              <w:rPr/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line="100" w:lineRule="atLeast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To The Attention of The Parents For Their Children</w:t>
            </w:r>
          </w:p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2011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/>
            </w:pPr>
            <w:r>
              <w:rPr/>
              <w:t>Grundtvig partnership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2011-1-IT2-GRU06-25299-1</w:t>
            </w:r>
          </w:p>
          <w:p>
            <w:pPr>
              <w:pStyle w:val="style29"/>
              <w:jc w:val="both"/>
              <w:rPr/>
            </w:pPr>
            <w:r>
              <w:rPr/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line="100" w:lineRule="atLeast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Robgap</w:t>
            </w:r>
          </w:p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2011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/>
            </w:pPr>
            <w:r>
              <w:rPr/>
              <w:t>Grundtvig partnership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2011-1-IT2-GRU06-23549-1</w:t>
            </w:r>
          </w:p>
          <w:p>
            <w:pPr>
              <w:pStyle w:val="style29"/>
              <w:jc w:val="both"/>
              <w:rPr/>
            </w:pPr>
            <w:r>
              <w:rPr/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line="100" w:lineRule="atLeast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Trainers in adult learning innovativeStrategies</w:t>
            </w:r>
          </w:p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2011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/>
            </w:pPr>
            <w:r>
              <w:rPr/>
              <w:t>LDV partnership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2011-1-TR1-LEO04-24523-3</w:t>
            </w:r>
          </w:p>
          <w:p>
            <w:pPr>
              <w:pStyle w:val="style29"/>
              <w:jc w:val="both"/>
              <w:rPr/>
            </w:pPr>
            <w:r>
              <w:rPr/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line="100" w:lineRule="atLeast"/>
              <w:jc w:val="both"/>
              <w:rPr>
                <w:rFonts w:ascii="Times New Roman" w:hAnsi="Times New Roman"/>
                <w:sz w:val="24"/>
                <w:lang w:val="en-US"/>
              </w:rPr>
            </w:pPr>
            <w:bookmarkStart w:id="0" w:name="result_box"/>
            <w:bookmarkEnd w:id="0"/>
            <w:r>
              <w:rPr>
                <w:rFonts w:ascii="Times New Roman" w:hAnsi="Times New Roman"/>
                <w:sz w:val="24"/>
                <w:lang w:val="en-US"/>
              </w:rPr>
              <w:t>SHARING  INNOVATE LANGUAGE TEACHING  METHODS  AT VOCATIONAL SCHOOLS</w:t>
            </w:r>
          </w:p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2012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/>
            </w:pPr>
            <w:r>
              <w:rPr/>
              <w:t>Grundtvig Network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rPr/>
            </w:pPr>
            <w:r>
              <w:rPr/>
              <w:t xml:space="preserve">526218-LLP-1-2012-1-UK-GRUNDTVIG-GNW 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Promoting ICT and multimedia in Prison education across Europe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2012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/>
            </w:pPr>
            <w:r>
              <w:rPr/>
              <w:t>Comenius bilateral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2012-1-IT2-COM07-37985-1</w:t>
            </w:r>
          </w:p>
          <w:p>
            <w:pPr>
              <w:pStyle w:val="style29"/>
              <w:jc w:val="both"/>
              <w:rPr/>
            </w:pPr>
            <w:r>
              <w:rPr/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Live Languages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2012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/>
            </w:pPr>
            <w:r>
              <w:rPr/>
              <w:t>Comenius partnership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2012-1-TR1-COM06-36931-2</w:t>
            </w:r>
          </w:p>
          <w:p>
            <w:pPr>
              <w:pStyle w:val="style29"/>
              <w:jc w:val="both"/>
              <w:rPr/>
            </w:pPr>
            <w:r>
              <w:rPr/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Cultural Interaction and Childhood Games</w:t>
            </w:r>
          </w:p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2012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/>
            </w:pPr>
            <w:r>
              <w:rPr/>
              <w:t>Comenius partnership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2012-1-RO1-COM06-22144-7</w:t>
            </w:r>
          </w:p>
          <w:p>
            <w:pPr>
              <w:pStyle w:val="style29"/>
              <w:jc w:val="both"/>
              <w:rPr/>
            </w:pPr>
            <w:r>
              <w:rPr/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VIRTUAL REALITY</w:t>
            </w:r>
          </w:p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2012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/>
            </w:pPr>
            <w:r>
              <w:rPr/>
              <w:t>Grundtvig partnership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2012-1-PT1-GRU06-12160-7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line="100" w:lineRule="atLeast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Building (e-)Learning Bridges</w:t>
            </w:r>
          </w:p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2013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/>
            </w:pPr>
            <w:r>
              <w:rPr/>
              <w:t>Comenius bilateral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2013-1-IT2-COM07-52256-1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Learning language with robots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2013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/>
            </w:pPr>
            <w:r>
              <w:rPr/>
              <w:t>Comenius partnership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2013-RO1-COM06-29681-6</w:t>
            </w:r>
          </w:p>
          <w:p>
            <w:pPr>
              <w:pStyle w:val="style29"/>
              <w:jc w:val="both"/>
              <w:rPr/>
            </w:pPr>
            <w:r>
              <w:rPr/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CHOOSE 2 LIVE AND THINK HEALTHY IN A HEALTHY COMMUNITY!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2013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/>
            </w:pPr>
            <w:r>
              <w:rPr/>
              <w:t>Comenius partnership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2013-1-ES1-COM06-73501-2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TOGETHER...WE MAKE THE WAY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2013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/>
            </w:pPr>
            <w:r>
              <w:rPr/>
              <w:t>Comenius partnership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2013-1-TR1-COM06-47994-8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HAND BY HAND FOR A WONDERFUL LAND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2013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/>
            </w:pPr>
            <w:r>
              <w:rPr/>
              <w:t>Grundtvig  partnership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2013-1-BE3-GRU06-07581-7    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line="100" w:lineRule="atLeast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M_TIPE-Mentoring</w:t>
            </w:r>
          </w:p>
          <w:p>
            <w:pPr>
              <w:pStyle w:val="style0"/>
              <w:spacing w:line="100" w:lineRule="atLeast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teachers in</w:t>
            </w:r>
          </w:p>
          <w:p>
            <w:pPr>
              <w:pStyle w:val="style0"/>
              <w:spacing w:line="100" w:lineRule="atLeast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prison education</w:t>
            </w:r>
          </w:p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2013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/>
            </w:pPr>
            <w:r>
              <w:rPr/>
              <w:t>Grundtvig  partnership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>
                <w:rFonts w:ascii="MS Mincho" w:cs="MS Mincho" w:eastAsia="MS Mincho" w:hAnsi="MS Mincho"/>
              </w:rPr>
            </w:pPr>
            <w:r>
              <w:rPr/>
              <w:t>2013</w:t>
            </w:r>
            <w:r>
              <w:rPr>
                <w:rFonts w:ascii="MS Mincho" w:cs="MS Mincho" w:eastAsia="MS Mincho" w:hAnsi="MS Mincho"/>
              </w:rPr>
              <w:t>‐</w:t>
            </w:r>
            <w:r>
              <w:rPr/>
              <w:t>1</w:t>
            </w:r>
            <w:r>
              <w:rPr>
                <w:rFonts w:ascii="MS Mincho" w:cs="MS Mincho" w:eastAsia="MS Mincho" w:hAnsi="MS Mincho"/>
              </w:rPr>
              <w:t>‐</w:t>
            </w:r>
            <w:r>
              <w:rPr/>
              <w:t>RO1</w:t>
            </w:r>
            <w:r>
              <w:rPr>
                <w:rFonts w:ascii="MS Mincho" w:cs="MS Mincho" w:eastAsia="MS Mincho" w:hAnsi="MS Mincho"/>
              </w:rPr>
              <w:t>‐</w:t>
            </w:r>
            <w:r>
              <w:rPr/>
              <w:t>GRU06</w:t>
            </w:r>
            <w:r>
              <w:rPr>
                <w:rFonts w:ascii="MS Mincho" w:cs="MS Mincho" w:eastAsia="MS Mincho" w:hAnsi="MS Mincho"/>
              </w:rPr>
              <w:t>‐</w:t>
            </w:r>
          </w:p>
          <w:p>
            <w:pPr>
              <w:pStyle w:val="style29"/>
              <w:jc w:val="both"/>
              <w:rPr/>
            </w:pPr>
            <w:r>
              <w:rPr/>
              <w:t>29555-3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WISDOM OF SPECIAL PEOPLE</w:t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2013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/>
            </w:pPr>
            <w:r>
              <w:rPr/>
              <w:t>LDV partnership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2013-1-TR1-LEO04-47702-6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line="100" w:lineRule="atLeast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Gifted and Talented Childrens Teachers' and Parents' Training-GATE</w:t>
            </w:r>
          </w:p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2013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/>
              <w:contextualSpacing w:val="false"/>
              <w:jc w:val="both"/>
              <w:rPr/>
            </w:pPr>
            <w:r>
              <w:rPr/>
              <w:t>Comenius Network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540029-LLP-1-2013-IT-COMENIUS-CNW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1"/>
              <w:numPr>
                <w:ilvl w:val="0"/>
                <w:numId w:val="1"/>
              </w:numPr>
              <w:spacing w:after="0" w:before="280"/>
              <w:contextualSpacing w:val="false"/>
              <w:rPr>
                <w:rFonts w:cs="Times New Roman"/>
                <w:b w:val="false"/>
                <w:bCs w:val="false"/>
                <w:sz w:val="24"/>
                <w:szCs w:val="22"/>
                <w:lang w:bidi="ar-SA" w:eastAsia="en-US" w:val="en-US"/>
              </w:rPr>
            </w:pPr>
            <w:r>
              <w:rPr>
                <w:rFonts w:cs="Times New Roman"/>
                <w:b w:val="false"/>
                <w:bCs w:val="false"/>
                <w:sz w:val="24"/>
                <w:szCs w:val="22"/>
                <w:lang w:bidi="ar-SA" w:eastAsia="en-US" w:val="en-US"/>
              </w:rPr>
              <w:t>Teamwork, Training and technology network TTT-NET</w:t>
            </w:r>
          </w:p>
          <w:p>
            <w:pPr>
              <w:pStyle w:val="style0"/>
              <w:spacing w:after="200" w:before="0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</w:r>
          </w:p>
        </w:tc>
      </w:tr>
      <w:tr>
        <w:trPr>
          <w:cantSplit w:val="false"/>
        </w:trPr>
        <w:tc>
          <w:tcPr>
            <w:tcW w:type="dxa" w:w="154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7"/>
              <w:spacing w:after="119" w:before="280" w:line="100" w:lineRule="atLeast"/>
              <w:contextualSpacing w:val="false"/>
              <w:rPr/>
            </w:pPr>
            <w:r>
              <w:rPr/>
              <w:t>2013</w:t>
            </w:r>
          </w:p>
        </w:tc>
        <w:tc>
          <w:tcPr>
            <w:tcW w:type="dxa" w:w="183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/>
            </w:pPr>
            <w:r>
              <w:rPr/>
              <w:t>KA3 ICT Multilateral Project</w:t>
            </w:r>
          </w:p>
        </w:tc>
        <w:tc>
          <w:tcPr>
            <w:tcW w:type="dxa" w:w="297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29"/>
              <w:jc w:val="both"/>
              <w:rPr/>
            </w:pPr>
            <w:r>
              <w:rPr/>
              <w:t>543577-LLP-1-2013-1-UK-KA3-KA3MP</w:t>
            </w:r>
          </w:p>
        </w:tc>
        <w:tc>
          <w:tcPr>
            <w:tcW w:type="dxa" w:w="349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type="dxa" w:w="108"/>
            </w:tcMar>
          </w:tcPr>
          <w:p>
            <w:pPr>
              <w:pStyle w:val="style0"/>
              <w:spacing w:after="200" w:before="0" w:line="100" w:lineRule="atLeast"/>
              <w:contextualSpacing w:val="false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EDUROB – Educational Robotics for students with learning disabilites</w:t>
            </w:r>
          </w:p>
        </w:tc>
      </w:tr>
    </w:tbl>
    <w:p>
      <w:pPr>
        <w:pStyle w:val="style0"/>
        <w:spacing w:after="200" w:before="0"/>
        <w:contextualSpacing w:val="false"/>
        <w:rPr/>
      </w:pPr>
      <w:r>
        <w:rPr/>
      </w:r>
    </w:p>
    <w:sectPr>
      <w:type w:val="nextPage"/>
      <w:pgSz w:h="16838" w:w="11906"/>
      <w:pgMar w:bottom="1134" w:footer="0" w:gutter="0" w:header="0" w:left="1134" w:right="1134" w:top="1417"/>
      <w:pgNumType w:fmt="decimal"/>
      <w:formProt w:val="false"/>
      <w:textDirection w:val="lrTb"/>
      <w:docGrid w:charSpace="4096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swiss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Arial Narrow">
    <w:charset w:val="01"/>
    <w:family w:val="roman"/>
    <w:pitch w:val="variable"/>
  </w:font>
  <w:font w:name="MS Mincho">
    <w:charset w:val="01"/>
    <w:family w:val="roman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none"/>
      <w:suff w:val="nothing"/>
      <w:lvlText w:val=""/>
      <w:lvlJc w:val="left"/>
      <w:pPr>
        <w:ind w:hanging="432" w:left="432"/>
      </w:pPr>
      <w:rPr/>
    </w:lvl>
    <w:lvl w:ilvl="1">
      <w:start w:val="1"/>
      <w:numFmt w:val="none"/>
      <w:suff w:val="nothing"/>
      <w:lvlText w:val=""/>
      <w:lvlJc w:val="left"/>
      <w:pPr>
        <w:ind w:hanging="576" w:left="576"/>
      </w:pPr>
      <w:rPr/>
    </w:lvl>
    <w:lvl w:ilvl="2">
      <w:start w:val="1"/>
      <w:numFmt w:val="none"/>
      <w:suff w:val="nothing"/>
      <w:lvlText w:val=""/>
      <w:lvlJc w:val="left"/>
      <w:pPr>
        <w:ind w:hanging="720" w:left="720"/>
      </w:pPr>
      <w:rPr/>
    </w:lvl>
    <w:lvl w:ilvl="3">
      <w:start w:val="1"/>
      <w:numFmt w:val="none"/>
      <w:suff w:val="nothing"/>
      <w:lvlText w:val=""/>
      <w:lvlJc w:val="left"/>
      <w:pPr>
        <w:ind w:hanging="864" w:left="864"/>
      </w:pPr>
      <w:rPr/>
    </w:lvl>
    <w:lvl w:ilvl="4">
      <w:start w:val="1"/>
      <w:numFmt w:val="none"/>
      <w:suff w:val="nothing"/>
      <w:lvlText w:val=""/>
      <w:lvlJc w:val="left"/>
      <w:pPr>
        <w:ind w:hanging="1008" w:left="1008"/>
      </w:pPr>
      <w:rPr/>
    </w:lvl>
    <w:lvl w:ilvl="5">
      <w:start w:val="1"/>
      <w:numFmt w:val="none"/>
      <w:suff w:val="nothing"/>
      <w:lvlText w:val=""/>
      <w:lvlJc w:val="left"/>
      <w:pPr>
        <w:ind w:hanging="1152" w:left="1152"/>
      </w:pPr>
      <w:rPr/>
    </w:lvl>
    <w:lvl w:ilvl="6">
      <w:start w:val="1"/>
      <w:numFmt w:val="none"/>
      <w:suff w:val="nothing"/>
      <w:lvlText w:val=""/>
      <w:lvlJc w:val="left"/>
      <w:pPr>
        <w:ind w:hanging="1296" w:left="1296"/>
      </w:pPr>
      <w:rPr/>
    </w:lvl>
    <w:lvl w:ilvl="7">
      <w:start w:val="1"/>
      <w:numFmt w:val="none"/>
      <w:suff w:val="nothing"/>
      <w:lvlText w:val=""/>
      <w:lvlJc w:val="left"/>
      <w:pPr>
        <w:ind w:hanging="1440" w:left="1440"/>
      </w:pPr>
      <w:rPr/>
    </w:lvl>
    <w:lvl w:ilvl="8">
      <w:start w:val="1"/>
      <w:numFmt w:val="none"/>
      <w:suff w:val="nothing"/>
      <w:lvlText w:val=""/>
      <w:lvlJc w:val="left"/>
      <w:pPr>
        <w:ind w:hanging="1584" w:left="1584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Times New Roman" w:eastAsia="Calibri" w:hAnsi="Calibri"/>
      <w:color w:val="auto"/>
      <w:sz w:val="22"/>
      <w:szCs w:val="22"/>
      <w:lang w:bidi="ar-SA" w:eastAsia="en-US" w:val="it-IT"/>
    </w:rPr>
  </w:style>
  <w:style w:styleId="style1" w:type="paragraph">
    <w:name w:val="Titolo 1"/>
    <w:basedOn w:val="style0"/>
    <w:next w:val="style1"/>
    <w:pPr>
      <w:widowControl w:val="false"/>
      <w:numPr>
        <w:ilvl w:val="0"/>
        <w:numId w:val="1"/>
      </w:numPr>
      <w:spacing w:after="280" w:before="280" w:line="100" w:lineRule="atLeast"/>
      <w:contextualSpacing w:val="false"/>
    </w:pPr>
    <w:rPr>
      <w:rFonts w:ascii="Times New Roman" w:cs="Lohit Hindi" w:hAnsi="Times New Roman"/>
      <w:b/>
      <w:bCs/>
      <w:sz w:val="48"/>
      <w:szCs w:val="48"/>
      <w:lang w:bidi="hi-IN" w:eastAsia="zh-CN"/>
    </w:rPr>
  </w:style>
  <w:style w:styleId="style15" w:type="character">
    <w:name w:val="Default Paragraph Font"/>
    <w:next w:val="style15"/>
    <w:rPr/>
  </w:style>
  <w:style w:styleId="style16" w:type="character">
    <w:name w:val="Titolo 1 Carattere"/>
    <w:basedOn w:val="style15"/>
    <w:next w:val="style16"/>
    <w:rPr>
      <w:rFonts w:ascii="Times New Roman" w:cs="Lohit Hindi" w:hAnsi="Times New Roman"/>
      <w:b/>
      <w:bCs/>
      <w:sz w:val="48"/>
      <w:szCs w:val="48"/>
      <w:lang w:bidi="hi-IN" w:eastAsia="zh-CN"/>
    </w:rPr>
  </w:style>
  <w:style w:styleId="style17" w:type="character">
    <w:name w:val="Corpo del testo Carattere"/>
    <w:basedOn w:val="style15"/>
    <w:next w:val="style17"/>
    <w:rPr>
      <w:rFonts w:ascii="Times New Roman" w:cs="Lohit Hindi" w:hAnsi="Times New Roman"/>
      <w:sz w:val="24"/>
      <w:szCs w:val="24"/>
      <w:lang w:bidi="hi-IN" w:eastAsia="zh-CN" w:val="en-GB"/>
    </w:rPr>
  </w:style>
  <w:style w:styleId="style18" w:type="character">
    <w:name w:val="Intestazione Carattere"/>
    <w:basedOn w:val="style15"/>
    <w:next w:val="style18"/>
    <w:rPr>
      <w:rFonts w:ascii="Times New Roman" w:cs="Lohit Hindi" w:hAnsi="Times New Roman"/>
      <w:sz w:val="24"/>
      <w:szCs w:val="24"/>
      <w:lang w:bidi="hi-IN" w:eastAsia="zh-CN" w:val="en-GB"/>
    </w:rPr>
  </w:style>
  <w:style w:styleId="style19" w:type="character">
    <w:name w:val="Collegamento Internet"/>
    <w:basedOn w:val="style15"/>
    <w:next w:val="style19"/>
    <w:rPr>
      <w:rFonts w:cs="Times New Roman"/>
      <w:color w:val="0000FF"/>
      <w:u w:val="single"/>
      <w:lang w:bidi="zxx-" w:eastAsia="zxx-" w:val="zxx-"/>
    </w:rPr>
  </w:style>
  <w:style w:styleId="style20" w:type="character">
    <w:name w:val="WW-Absatz-Standardschriftart"/>
    <w:next w:val="style20"/>
    <w:rPr/>
  </w:style>
  <w:style w:styleId="style21" w:type="character">
    <w:name w:val="ListLabel 1"/>
    <w:next w:val="style21"/>
    <w:rPr>
      <w:rFonts w:cs="Times New Roman"/>
    </w:rPr>
  </w:style>
  <w:style w:styleId="style22" w:type="paragraph">
    <w:name w:val="Titolo"/>
    <w:basedOn w:val="style0"/>
    <w:next w:val="style23"/>
    <w:pPr>
      <w:keepNext/>
      <w:spacing w:after="120" w:before="240"/>
      <w:contextualSpacing w:val="false"/>
    </w:pPr>
    <w:rPr>
      <w:rFonts w:ascii="Arial" w:cs="Lohit Hindi" w:eastAsia="DejaVu Sans" w:hAnsi="Arial"/>
      <w:sz w:val="28"/>
      <w:szCs w:val="28"/>
    </w:rPr>
  </w:style>
  <w:style w:styleId="style23" w:type="paragraph">
    <w:name w:val="Corpo del testo"/>
    <w:basedOn w:val="style0"/>
    <w:next w:val="style23"/>
    <w:pPr>
      <w:widowControl w:val="false"/>
      <w:suppressAutoHyphens w:val="true"/>
      <w:spacing w:after="120" w:before="0" w:line="100" w:lineRule="atLeast"/>
      <w:contextualSpacing w:val="false"/>
    </w:pPr>
    <w:rPr>
      <w:rFonts w:ascii="Times New Roman" w:cs="Lohit Hindi" w:hAnsi="Times New Roman"/>
      <w:sz w:val="24"/>
      <w:szCs w:val="24"/>
      <w:lang w:bidi="hi-IN" w:eastAsia="zh-CN" w:val="en-GB"/>
    </w:rPr>
  </w:style>
  <w:style w:styleId="style24" w:type="paragraph">
    <w:name w:val="Elenco"/>
    <w:basedOn w:val="style23"/>
    <w:next w:val="style24"/>
    <w:pPr/>
    <w:rPr>
      <w:rFonts w:cs="Lohit Hindi"/>
    </w:rPr>
  </w:style>
  <w:style w:styleId="style25" w:type="paragraph">
    <w:name w:val="Didascalia"/>
    <w:basedOn w:val="style0"/>
    <w:next w:val="style25"/>
    <w:pPr>
      <w:suppressLineNumbers/>
      <w:spacing w:after="120" w:before="120"/>
      <w:contextualSpacing w:val="false"/>
    </w:pPr>
    <w:rPr>
      <w:rFonts w:cs="Lohit Hindi"/>
      <w:i/>
      <w:iCs/>
      <w:sz w:val="24"/>
      <w:szCs w:val="24"/>
    </w:rPr>
  </w:style>
  <w:style w:styleId="style26" w:type="paragraph">
    <w:name w:val="Indice"/>
    <w:basedOn w:val="style0"/>
    <w:next w:val="style26"/>
    <w:pPr>
      <w:suppressLineNumbers/>
    </w:pPr>
    <w:rPr>
      <w:rFonts w:cs="Lohit Hindi"/>
    </w:rPr>
  </w:style>
  <w:style w:styleId="style27" w:type="paragraph">
    <w:name w:val="Normal (Web)"/>
    <w:basedOn w:val="style0"/>
    <w:next w:val="style27"/>
    <w:pPr>
      <w:spacing w:after="119" w:before="280" w:line="100" w:lineRule="atLeast"/>
      <w:contextualSpacing w:val="false"/>
    </w:pPr>
    <w:rPr>
      <w:rFonts w:ascii="Times New Roman" w:eastAsia="Times New Roman" w:hAnsi="Times New Roman"/>
      <w:sz w:val="24"/>
      <w:szCs w:val="24"/>
      <w:lang w:eastAsia="it-IT"/>
    </w:rPr>
  </w:style>
  <w:style w:styleId="style28" w:type="paragraph">
    <w:name w:val="western"/>
    <w:basedOn w:val="style0"/>
    <w:next w:val="style28"/>
    <w:pPr>
      <w:spacing w:after="280" w:before="280" w:line="100" w:lineRule="atLeast"/>
      <w:contextualSpacing w:val="false"/>
    </w:pPr>
    <w:rPr>
      <w:rFonts w:ascii="Times New Roman" w:eastAsia="Times New Roman" w:hAnsi="Times New Roman"/>
      <w:sz w:val="24"/>
      <w:szCs w:val="24"/>
      <w:lang w:eastAsia="it-IT"/>
    </w:rPr>
  </w:style>
  <w:style w:styleId="style29" w:type="paragraph">
    <w:name w:val="Intestazione"/>
    <w:basedOn w:val="style0"/>
    <w:next w:val="style29"/>
    <w:pPr>
      <w:widowControl w:val="false"/>
      <w:tabs>
        <w:tab w:leader="none" w:pos="4536" w:val="center"/>
        <w:tab w:leader="none" w:pos="9072" w:val="right"/>
      </w:tabs>
      <w:suppressAutoHyphens w:val="true"/>
      <w:spacing w:after="0" w:before="0" w:line="100" w:lineRule="atLeast"/>
      <w:contextualSpacing w:val="false"/>
    </w:pPr>
    <w:rPr>
      <w:rFonts w:ascii="Times New Roman" w:cs="Lohit Hindi" w:hAnsi="Times New Roman"/>
      <w:sz w:val="24"/>
      <w:szCs w:val="24"/>
      <w:lang w:bidi="hi-IN" w:eastAsia="zh-CN" w:val="en-GB"/>
    </w:rPr>
  </w:style>
  <w:style w:styleId="style30" w:type="paragraph">
    <w:name w:val="Contenuto tabella"/>
    <w:basedOn w:val="style0"/>
    <w:next w:val="style30"/>
    <w:pPr/>
    <w:rPr/>
  </w:style>
  <w:style w:styleId="style31" w:type="paragraph">
    <w:name w:val="Titolo tabella"/>
    <w:basedOn w:val="style30"/>
    <w:next w:val="style31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LibreOffice/4.1.3.2$Linux_X86_64 LibreOffice_project/410m0$Build-2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2014-01-13T07:35:00Z</dcterms:created>
  <dc:creator>Marina</dc:creator>
  <cp:lastModifiedBy>Marina</cp:lastModifiedBy>
  <cp:lastPrinted>2013-11-21T14:58:00Z</cp:lastPrinted>
  <dcterms:modified xsi:type="dcterms:W3CDTF">2014-01-13T07:44:00Z</dcterms:modified>
  <cp:revision>3</cp:revision>
  <dc:title>Start year</dc:title>
</cp:coreProperties>
</file>